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1"/>
          <w:left w:val="none" w:color="auto" w:sz="0" w:space="4"/>
          <w:bottom w:val="single" w:color="auto" w:sz="6" w:space="0"/>
          <w:right w:val="none" w:color="auto" w:sz="0" w:space="4"/>
        </w:pBdr>
        <w:jc w:val="both"/>
        <w:rPr>
          <w:rFonts w:ascii="Arial" w:hAnsi="Arial" w:eastAsia="楷体_GB2312" w:cs="Arial"/>
          <w:b/>
          <w:spacing w:val="10"/>
          <w:sz w:val="30"/>
          <w:szCs w:val="30"/>
        </w:rPr>
      </w:pPr>
      <w:r>
        <w:rPr>
          <w:rFonts w:hint="eastAsia" w:ascii="Arial" w:hAnsi="Arial" w:eastAsia="楷体_GB2312" w:cs="Arial"/>
          <w:b/>
          <w:spacing w:val="10"/>
          <w:sz w:val="28"/>
          <w:szCs w:val="28"/>
        </w:rPr>
        <w:drawing>
          <wp:inline distT="0" distB="0" distL="114300" distR="114300">
            <wp:extent cx="1856105" cy="762000"/>
            <wp:effectExtent l="0" t="0" r="10795" b="0"/>
            <wp:docPr id="1" name="图片 1" descr="168671160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711605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楷体_GB2312" w:cs="Arial"/>
          <w:b/>
          <w:spacing w:val="10"/>
          <w:sz w:val="28"/>
          <w:szCs w:val="28"/>
        </w:rPr>
        <w:tab/>
      </w:r>
      <w:r>
        <w:rPr>
          <w:rFonts w:hint="eastAsia" w:ascii="Arial" w:hAnsi="Arial" w:eastAsia="楷体_GB2312" w:cs="Arial"/>
          <w:b/>
          <w:spacing w:val="10"/>
          <w:sz w:val="28"/>
          <w:szCs w:val="28"/>
        </w:rPr>
        <w:t xml:space="preserve">     </w:t>
      </w:r>
      <w:r>
        <w:rPr>
          <w:rFonts w:hint="eastAsia" w:ascii="Arial" w:hAnsi="Arial" w:eastAsia="楷体_GB2312" w:cs="Arial"/>
          <w:b/>
          <w:spacing w:val="10"/>
          <w:sz w:val="30"/>
          <w:szCs w:val="30"/>
        </w:rPr>
        <w:t>第二十九届媒体融合技术研讨会</w:t>
      </w:r>
    </w:p>
    <w:p>
      <w:pPr>
        <w:pStyle w:val="2"/>
        <w:pBdr>
          <w:top w:val="none" w:color="auto" w:sz="0" w:space="1"/>
          <w:left w:val="none" w:color="auto" w:sz="0" w:space="4"/>
          <w:bottom w:val="single" w:color="auto" w:sz="6" w:space="0"/>
          <w:right w:val="none" w:color="auto" w:sz="0" w:space="4"/>
        </w:pBdr>
        <w:jc w:val="right"/>
        <w:rPr>
          <w:rFonts w:ascii="Arial Unicode MS" w:hAnsi="Arial Unicode MS" w:eastAsia="Arial Unicode MS" w:cs="Arial Unicode MS"/>
          <w:b/>
          <w:sz w:val="21"/>
          <w:szCs w:val="21"/>
        </w:rPr>
      </w:pPr>
      <w:r>
        <w:rPr>
          <w:rFonts w:hint="eastAsia" w:ascii="Arial Unicode MS" w:hAnsi="Arial Unicode MS" w:eastAsia="Arial Unicode MS" w:cs="Arial Unicode MS"/>
          <w:b/>
          <w:sz w:val="21"/>
          <w:szCs w:val="21"/>
        </w:rPr>
        <w:t>202</w:t>
      </w:r>
      <w:r>
        <w:rPr>
          <w:rFonts w:hint="eastAsia" w:ascii="Arial Unicode MS" w:hAnsi="Arial Unicode MS" w:eastAsia="宋体" w:cs="Arial Unicode MS"/>
          <w:b/>
          <w:sz w:val="21"/>
          <w:szCs w:val="21"/>
        </w:rPr>
        <w:t xml:space="preserve">4 </w:t>
      </w:r>
      <w:r>
        <w:rPr>
          <w:rFonts w:hint="eastAsia" w:ascii="Arial Unicode MS" w:hAnsi="Arial Unicode MS" w:eastAsia="Arial Unicode MS" w:cs="Arial Unicode MS"/>
          <w:b/>
          <w:sz w:val="21"/>
          <w:szCs w:val="21"/>
        </w:rPr>
        <w:t>International Conference on Technology Convergence</w:t>
      </w:r>
    </w:p>
    <w:p>
      <w:pPr>
        <w:pStyle w:val="2"/>
        <w:pBdr>
          <w:top w:val="none" w:color="auto" w:sz="0" w:space="1"/>
          <w:left w:val="none" w:color="auto" w:sz="0" w:space="4"/>
          <w:bottom w:val="single" w:color="auto" w:sz="6" w:space="0"/>
          <w:right w:val="none" w:color="auto" w:sz="0" w:space="4"/>
        </w:pBdr>
        <w:wordWrap w:val="0"/>
        <w:spacing w:line="300" w:lineRule="exact"/>
        <w:jc w:val="righ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10月10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r>
        <w:rPr>
          <w:rFonts w:hint="eastAsia" w:ascii="宋体" w:hAnsi="宋体" w:cs="宋体"/>
          <w:b/>
          <w:sz w:val="24"/>
          <w:szCs w:val="24"/>
        </w:rPr>
        <w:t>-12日  中国•杭州•之江饭店</w:t>
      </w:r>
    </w:p>
    <w:p>
      <w:pPr>
        <w:spacing w:line="440" w:lineRule="exact"/>
        <w:rPr>
          <w:rFonts w:hint="eastAsia" w:ascii="宋体" w:hAnsi="宋体"/>
        </w:rPr>
      </w:pPr>
    </w:p>
    <w:p>
      <w:pPr>
        <w:spacing w:line="600" w:lineRule="exact"/>
        <w:ind w:left="-121" w:leftChars="-364" w:hanging="643" w:hangingChars="200"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ICTC2024招商方案</w:t>
      </w:r>
    </w:p>
    <w:p>
      <w:pPr>
        <w:spacing w:line="600" w:lineRule="exact"/>
        <w:ind w:left="-282" w:leftChars="-364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一、企业招商</w:t>
      </w:r>
    </w:p>
    <w:p>
      <w:pPr>
        <w:spacing w:line="600" w:lineRule="exact"/>
        <w:ind w:left="-282" w:leftChars="-364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●综合项目：演讲+展示+赞助</w:t>
      </w:r>
    </w:p>
    <w:tbl>
      <w:tblPr>
        <w:tblStyle w:val="3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288"/>
        <w:gridCol w:w="2922"/>
        <w:gridCol w:w="273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322" w:type="dxa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钻石赞助厂商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人民币20万元</w:t>
            </w:r>
          </w:p>
        </w:tc>
        <w:tc>
          <w:tcPr>
            <w:tcW w:w="3210" w:type="dxa"/>
            <w:gridSpan w:val="2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金牌赞助厂商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人民币15万元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</w:tcBorders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赞助厂商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人民币10万元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2" w:type="dxa"/>
            <w:gridSpan w:val="5"/>
            <w:shd w:val="clear" w:color="FFFF00" w:fill="FFC00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统一回报项目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772" w:type="dxa"/>
            <w:gridSpan w:val="5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Courier New" w:hAnsi="Courier New" w:eastAsia="仿宋" w:cs="Courier New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研讨会现场背板宣传赞助商LOGO </w:t>
            </w:r>
            <w:r>
              <w:rPr>
                <w:rFonts w:ascii="Courier New" w:hAnsi="Courier New" w:eastAsia="仿宋" w:cs="Courier New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官方网站、微信公众号宣传赞助商LOGO</w:t>
            </w:r>
            <w:r>
              <w:rPr>
                <w:rFonts w:ascii="Courier New" w:hAnsi="Courier New" w:eastAsia="仿宋" w:cs="Courier New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参会指南手册指定页面刊登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赞助企业L</w:t>
            </w:r>
            <w:r>
              <w:rPr>
                <w:rFonts w:ascii="仿宋" w:hAnsi="仿宋" w:eastAsia="仿宋" w:cs="宋体"/>
                <w:sz w:val="24"/>
                <w:szCs w:val="24"/>
              </w:rPr>
              <w:t>OGO</w:t>
            </w:r>
            <w:r>
              <w:rPr>
                <w:rFonts w:ascii="Courier New" w:hAnsi="Courier New" w:eastAsia="仿宋" w:cs="Courier New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赞助商资料装入会议资料袋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72" w:type="dxa"/>
            <w:gridSpan w:val="5"/>
            <w:shd w:val="clear" w:color="FFFF00" w:fill="FFC00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专属回报项目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3610" w:type="dxa"/>
            <w:gridSpan w:val="2"/>
          </w:tcPr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●10月10日下午主题报告会演讲时段（30分钟）；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●10月11日专题分论坛演讲时段（30分钟）；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●演示2个9㎡标准展位或18㎡光地展位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●提供4个VIP参会名额（含食宿，2个房间）；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●业内主流媒体（2家）专访报道；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●参会指南手册特殊版位广告（2个版位）；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●会场、报到处显著位置摆放易拉宝2块；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●在会议官方网站、微信公众号特殊版位链接企业官网及公众号；</w:t>
            </w:r>
          </w:p>
        </w:tc>
        <w:tc>
          <w:tcPr>
            <w:tcW w:w="3195" w:type="dxa"/>
            <w:gridSpan w:val="2"/>
          </w:tcPr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●10月10日下午主题报告会演讲时段（30分钟）；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●展示9㎡标准展位；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●提供2个VIP参会名额（含食宿，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个房间）；</w:t>
            </w:r>
          </w:p>
          <w:p>
            <w:pPr>
              <w:spacing w:line="340" w:lineRule="exact"/>
              <w:ind w:left="240" w:hanging="240" w:hangingChars="100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●业内主流媒体（1家）专访报道；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●参会指南手册特殊版位广告（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个版位）；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●会场、报到处显著位置摆放易拉宝1块；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●在会议官方网站、微信公众号特殊版位链接企业官网及公众号；</w:t>
            </w:r>
          </w:p>
        </w:tc>
        <w:tc>
          <w:tcPr>
            <w:tcW w:w="2967" w:type="dxa"/>
          </w:tcPr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●10月11日专题分论坛演讲时段（30分钟）；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●展示9㎡标准展位；</w:t>
            </w:r>
          </w:p>
          <w:p>
            <w:pPr>
              <w:spacing w:line="3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●提供2个VIP参会名额（含食宿，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个房间）；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●会场、报到处显著位置摆放易拉宝</w:t>
            </w:r>
            <w:r>
              <w:rPr>
                <w:rFonts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块；</w:t>
            </w:r>
          </w:p>
          <w:p>
            <w:pPr>
              <w:spacing w:line="340" w:lineRule="exact"/>
              <w:ind w:left="120" w:hanging="120" w:hangingChars="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●在会议官方网站、微信公众号特殊版位链接企业官网及公众号；</w:t>
            </w:r>
          </w:p>
        </w:tc>
      </w:tr>
    </w:tbl>
    <w:p>
      <w:pPr>
        <w:ind w:left="62" w:leftChars="-200" w:hanging="482" w:hangingChars="200"/>
        <w:rPr>
          <w:rFonts w:ascii="仿宋" w:hAnsi="仿宋" w:eastAsia="仿宋" w:cs="宋体"/>
          <w:b/>
          <w:bCs/>
          <w:sz w:val="24"/>
          <w:szCs w:val="24"/>
        </w:rPr>
      </w:pPr>
    </w:p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</w:p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</w:p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●单项项目-演讲</w:t>
      </w:r>
    </w:p>
    <w:tbl>
      <w:tblPr>
        <w:tblStyle w:val="3"/>
        <w:tblW w:w="952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935"/>
        <w:gridCol w:w="975"/>
        <w:gridCol w:w="244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7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日 期</w:t>
            </w:r>
          </w:p>
        </w:tc>
        <w:tc>
          <w:tcPr>
            <w:tcW w:w="1935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内 容</w:t>
            </w:r>
          </w:p>
        </w:tc>
        <w:tc>
          <w:tcPr>
            <w:tcW w:w="975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时 长</w:t>
            </w:r>
          </w:p>
        </w:tc>
        <w:tc>
          <w:tcPr>
            <w:tcW w:w="2445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场 地</w:t>
            </w:r>
          </w:p>
        </w:tc>
        <w:tc>
          <w:tcPr>
            <w:tcW w:w="2400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费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6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10月10日下午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主题报告会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30分钟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主楼5层千人报告厅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100000元人民币/场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分会场专题报告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30分钟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会议楼3A、3B、2层多功能厅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50000元人民币/场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7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10月11日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分会场专题报告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30分钟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会议楼3A、3B、2层多功能厅、301会议室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50000元人民币/场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7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10月12日</w:t>
            </w:r>
          </w:p>
        </w:tc>
        <w:tc>
          <w:tcPr>
            <w:tcW w:w="193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分会场专题报告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30分钟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华数分公司会场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30000元人民币/场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22" w:type="dxa"/>
            <w:gridSpan w:val="5"/>
            <w:shd w:val="clear" w:color="auto" w:fill="FFC000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备注：每场报告可享有含演讲人在内2名参会代表名额（含午餐、参会证件及资料，不含住宿）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●单项项目-演示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50"/>
        <w:gridCol w:w="417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5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地点</w:t>
            </w:r>
          </w:p>
        </w:tc>
        <w:tc>
          <w:tcPr>
            <w:tcW w:w="2250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展室</w:t>
            </w:r>
          </w:p>
        </w:tc>
        <w:tc>
          <w:tcPr>
            <w:tcW w:w="4172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展示内容</w:t>
            </w:r>
          </w:p>
        </w:tc>
        <w:tc>
          <w:tcPr>
            <w:tcW w:w="1787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975" w:type="dxa"/>
            <w:vMerge w:val="restart"/>
            <w:vAlign w:val="center"/>
          </w:tcPr>
          <w:p>
            <w:pPr>
              <w:ind w:left="-420" w:leftChars="-200"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会议楼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ind w:left="-420" w:leftChars="-200"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一层中会场（350m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172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广电5G、超高清电视、人工智能、电视操作复杂治理、智慧广电、网络信息安全、公共服务与应急广播、文化专网与文化数字化、智能媒体、融媒体中心发展创新、广电宽带网络等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标准展位（9m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</w:trPr>
        <w:tc>
          <w:tcPr>
            <w:tcW w:w="975" w:type="dxa"/>
            <w:vMerge w:val="continue"/>
            <w:vAlign w:val="center"/>
          </w:tcPr>
          <w:p>
            <w:pPr>
              <w:ind w:left="-420" w:leftChars="-200"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ind w:left="-420" w:leftChars="-200"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72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非标准展位（18m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以上）2500元/m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9184" w:type="dxa"/>
            <w:gridSpan w:val="4"/>
            <w:shd w:val="clear" w:color="auto" w:fill="FFC00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备注：根据参展面积，展商可享有1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2名参会代表名额（含午餐、参会证件及资料，不含住宿）</w:t>
            </w:r>
          </w:p>
        </w:tc>
      </w:tr>
    </w:tbl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color w:val="000000"/>
          <w:sz w:val="24"/>
          <w:szCs w:val="24"/>
        </w:rPr>
      </w:pPr>
    </w:p>
    <w:p>
      <w:pPr>
        <w:ind w:left="62" w:leftChars="-200" w:hanging="482" w:hangingChars="200"/>
        <w:rPr>
          <w:rFonts w:hint="eastAsia" w:ascii="仿宋" w:hAnsi="仿宋" w:eastAsia="仿宋" w:cs="宋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●单项项目-赞助</w:t>
      </w:r>
    </w:p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会议LED大屏广告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70"/>
        <w:gridCol w:w="256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编 号</w:t>
            </w:r>
          </w:p>
        </w:tc>
        <w:tc>
          <w:tcPr>
            <w:tcW w:w="3270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 目</w:t>
            </w:r>
          </w:p>
        </w:tc>
        <w:tc>
          <w:tcPr>
            <w:tcW w:w="2565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位 置</w:t>
            </w:r>
          </w:p>
        </w:tc>
        <w:tc>
          <w:tcPr>
            <w:tcW w:w="1823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3270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会议前、会议中场休息，会场LED大屏滚动播放企业宣传片、广告或短视频</w:t>
            </w: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主旨报告、主题报告会</w:t>
            </w:r>
          </w:p>
        </w:tc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0000元/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327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专题分论坛</w:t>
            </w:r>
          </w:p>
        </w:tc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0000元/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场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会议指南、官方网站、微信公众号广告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963"/>
        <w:gridCol w:w="235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1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编 号</w:t>
            </w:r>
          </w:p>
        </w:tc>
        <w:tc>
          <w:tcPr>
            <w:tcW w:w="2963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 目</w:t>
            </w:r>
          </w:p>
        </w:tc>
        <w:tc>
          <w:tcPr>
            <w:tcW w:w="2355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位 置</w:t>
            </w:r>
          </w:p>
        </w:tc>
        <w:tc>
          <w:tcPr>
            <w:tcW w:w="2033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96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会议指南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封面（位置待定）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0000元/版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296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封二、封三、封底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20000元/版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官方网站、微信公众号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首页特殊版位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4"/>
            <w:shd w:val="clear" w:color="auto" w:fill="FFC00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备注：待定费用请与组委会联系；</w:t>
            </w:r>
          </w:p>
        </w:tc>
      </w:tr>
    </w:tbl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会场室内、室外标语广告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773"/>
        <w:gridCol w:w="230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006" w:type="dxa"/>
            <w:shd w:val="clear" w:color="auto" w:fill="00B0F0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位置</w:t>
            </w:r>
          </w:p>
        </w:tc>
        <w:tc>
          <w:tcPr>
            <w:tcW w:w="773" w:type="dxa"/>
            <w:shd w:val="clear" w:color="auto" w:fill="00B0F0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2302" w:type="dxa"/>
            <w:shd w:val="clear" w:color="auto" w:fill="00B0F0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尺寸</w:t>
            </w:r>
          </w:p>
        </w:tc>
        <w:tc>
          <w:tcPr>
            <w:tcW w:w="1514" w:type="dxa"/>
            <w:shd w:val="clear" w:color="auto" w:fill="00B0F0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06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之江饭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店</w:t>
            </w:r>
            <w:r>
              <w:rPr>
                <w:rFonts w:ascii="仿宋" w:hAnsi="仿宋" w:eastAsia="仿宋" w:cs="Calibri"/>
                <w:sz w:val="24"/>
                <w:szCs w:val="24"/>
              </w:rPr>
              <w:t>大堂内大标语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m(W)*3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006" w:type="dxa"/>
            <w:vMerge w:val="restart"/>
            <w:vAlign w:val="center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之江饭店会议楼接待房墙面广告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2.5m(W)*4m(L)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0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2.5m(W)*2m(L)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之江饭店</w:t>
            </w:r>
            <w:r>
              <w:rPr>
                <w:rFonts w:ascii="仿宋" w:hAnsi="仿宋" w:eastAsia="仿宋" w:cs="Calibri"/>
                <w:sz w:val="24"/>
                <w:szCs w:val="24"/>
              </w:rPr>
              <w:t>会议楼正面墙标语广告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2m(W)*15.8m(L)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20000元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之江饭店</w:t>
            </w:r>
            <w:r>
              <w:rPr>
                <w:rFonts w:ascii="仿宋" w:hAnsi="仿宋" w:eastAsia="仿宋" w:cs="Calibri"/>
                <w:sz w:val="24"/>
                <w:szCs w:val="24"/>
              </w:rPr>
              <w:t>会议楼大门两侧平面广告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2.2m(W)*3.3m(L)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20000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之江饭店主楼5层千人</w:t>
            </w:r>
            <w:r>
              <w:rPr>
                <w:rFonts w:ascii="仿宋" w:hAnsi="仿宋" w:eastAsia="仿宋" w:cs="Calibri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场内</w:t>
            </w:r>
            <w:r>
              <w:rPr>
                <w:rFonts w:ascii="仿宋" w:hAnsi="仿宋" w:eastAsia="仿宋" w:cs="Calibri"/>
                <w:sz w:val="24"/>
                <w:szCs w:val="24"/>
              </w:rPr>
              <w:t>标语广告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前:</w:t>
            </w:r>
            <w:r>
              <w:rPr>
                <w:rFonts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17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后:</w:t>
            </w:r>
            <w:r>
              <w:rPr>
                <w:rFonts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18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左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:</w:t>
            </w:r>
            <w:r>
              <w:rPr>
                <w:rFonts w:ascii="仿宋" w:hAnsi="仿宋" w:eastAsia="仿宋" w:cs="Calibri"/>
                <w:sz w:val="24"/>
                <w:szCs w:val="24"/>
              </w:rPr>
              <w:t>1.2m(W)x5.25m(L)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右:1.2m(W)x5.25m(L)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之江饭店会议楼3A会场内</w:t>
            </w:r>
            <w:r>
              <w:rPr>
                <w:rFonts w:ascii="仿宋" w:hAnsi="仿宋" w:eastAsia="仿宋" w:cs="Calibri"/>
                <w:sz w:val="24"/>
                <w:szCs w:val="24"/>
              </w:rPr>
              <w:t>标语广告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（会议第二、三天展示）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前:</w:t>
            </w:r>
            <w:r>
              <w:rPr>
                <w:rFonts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11.3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后:</w:t>
            </w:r>
            <w:r>
              <w:rPr>
                <w:rFonts w:ascii="仿宋" w:hAnsi="仿宋" w:eastAsia="仿宋" w:cs="Calibri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9.8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之江饭店会议楼主楼5层多功能厅会场内</w:t>
            </w:r>
            <w:r>
              <w:rPr>
                <w:rFonts w:ascii="仿宋" w:hAnsi="仿宋" w:eastAsia="仿宋" w:cs="Calibri"/>
                <w:sz w:val="24"/>
                <w:szCs w:val="24"/>
              </w:rPr>
              <w:t>标语广告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（会议第二、三天展示）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前:0.8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9.5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后:0.8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9.5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006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之江饭店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主楼</w:t>
            </w:r>
            <w:r>
              <w:rPr>
                <w:rFonts w:ascii="仿宋" w:hAnsi="仿宋" w:eastAsia="仿宋" w:cs="Calibri"/>
                <w:sz w:val="24"/>
                <w:szCs w:val="24"/>
              </w:rPr>
              <w:t>大堂内LED屏广告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（全天6-7个视频循环播放）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92</w:t>
            </w:r>
            <w:r>
              <w:rPr>
                <w:rFonts w:ascii="仿宋" w:hAnsi="仿宋" w:eastAsia="仿宋" w:cs="Calibri"/>
                <w:sz w:val="24"/>
                <w:szCs w:val="24"/>
              </w:rPr>
              <w:t>m(W)*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1.08</w:t>
            </w:r>
            <w:r>
              <w:rPr>
                <w:rFonts w:ascii="仿宋" w:hAnsi="仿宋" w:eastAsia="仿宋" w:cs="Calibri"/>
                <w:sz w:val="24"/>
                <w:szCs w:val="24"/>
              </w:rPr>
              <w:t>m(L)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比例：16:9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95" w:type="dxa"/>
            <w:gridSpan w:val="4"/>
            <w:shd w:val="clear" w:color="auto" w:fill="FFC00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备注：待定费用请与组委会联系；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vanish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单品赞助</w:t>
      </w:r>
    </w:p>
    <w:tbl>
      <w:tblPr>
        <w:tblStyle w:val="3"/>
        <w:tblW w:w="0" w:type="auto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29"/>
        <w:gridCol w:w="124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b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sz w:val="24"/>
                <w:szCs w:val="24"/>
              </w:rPr>
              <w:t>编号</w:t>
            </w:r>
          </w:p>
        </w:tc>
        <w:tc>
          <w:tcPr>
            <w:tcW w:w="5529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 w:cs="Calibri"/>
                <w:b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sz w:val="24"/>
                <w:szCs w:val="24"/>
              </w:rPr>
              <w:t>项 目</w:t>
            </w:r>
          </w:p>
        </w:tc>
        <w:tc>
          <w:tcPr>
            <w:tcW w:w="1245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 w:cs="Calibri"/>
                <w:b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sz w:val="24"/>
                <w:szCs w:val="24"/>
              </w:rPr>
              <w:t>数 量</w:t>
            </w:r>
          </w:p>
        </w:tc>
        <w:tc>
          <w:tcPr>
            <w:tcW w:w="1727" w:type="dxa"/>
            <w:shd w:val="clear" w:color="auto" w:fill="00B0F0"/>
            <w:vAlign w:val="center"/>
          </w:tcPr>
          <w:p>
            <w:pPr>
              <w:ind w:left="-420" w:leftChars="-200" w:firstLine="482" w:firstLineChars="200"/>
              <w:jc w:val="center"/>
              <w:rPr>
                <w:rFonts w:hint="eastAsia" w:ascii="仿宋" w:hAnsi="仿宋" w:eastAsia="仿宋" w:cs="Calibri"/>
                <w:b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sz w:val="24"/>
                <w:szCs w:val="24"/>
              </w:rPr>
              <w:t>费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夜话沙龙、冠名VIP专题活动</w:t>
            </w:r>
          </w:p>
          <w:p>
            <w:pPr>
              <w:jc w:val="lef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（组委会将在晚上举办主题沙龙活动或冠名VIP专场活动，组织与会VIP代表参与，厂商可以冠名方式对活动进行赞助，详情请咨询组委会）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2-3场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纪念品或礼品</w:t>
            </w:r>
          </w:p>
          <w:p>
            <w:pPr>
              <w:jc w:val="left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（组委会将准备特制一份纪念品或礼品，报到时赠送给每位代表，纪念品或礼品上将印制赞助商的名字及标志）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约1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00份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29" w:type="dxa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会议包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（会议包将印制赞助商名字及标志，报到时发给每位代表。会议包款式由赞助商与组委会商定）</w:t>
            </w:r>
          </w:p>
        </w:tc>
        <w:tc>
          <w:tcPr>
            <w:tcW w:w="1245" w:type="dxa"/>
            <w:vMerge w:val="continue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29" w:type="dxa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会议笔记本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（会议笔记本将印制赞助商名字及标志，报到时发给每位代表。笔记本款式由赞助商与组委会商定）</w:t>
            </w:r>
          </w:p>
        </w:tc>
        <w:tc>
          <w:tcPr>
            <w:tcW w:w="1245" w:type="dxa"/>
            <w:vMerge w:val="continue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29" w:type="dxa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会议笔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（会议笔将印制赞助商名字及标志，报到时发给每位代表。笔款式由赞助商与组委会商务定）</w:t>
            </w:r>
          </w:p>
        </w:tc>
        <w:tc>
          <w:tcPr>
            <w:tcW w:w="1245" w:type="dxa"/>
            <w:vMerge w:val="continue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529" w:type="dxa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会议饮用水</w:t>
            </w:r>
          </w:p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（由赞助商自行购买饮用水，供会议代表饮用，可在瓶上贴上赞助商logo）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3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000瓶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约1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00份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代表证挂绳</w:t>
            </w:r>
          </w:p>
        </w:tc>
        <w:tc>
          <w:tcPr>
            <w:tcW w:w="1245" w:type="dxa"/>
            <w:vMerge w:val="continue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  <w:lang w:eastAsia="ja-JP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" w:hAnsi="仿宋" w:eastAsia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000000"/>
                <w:sz w:val="24"/>
                <w:szCs w:val="24"/>
              </w:rPr>
              <w:t>代表证背面广告</w:t>
            </w:r>
          </w:p>
        </w:tc>
        <w:tc>
          <w:tcPr>
            <w:tcW w:w="1245" w:type="dxa"/>
            <w:vMerge w:val="continue"/>
          </w:tcPr>
          <w:p>
            <w:pPr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  <w:r>
              <w:rPr>
                <w:rFonts w:ascii="仿宋" w:hAnsi="仿宋" w:eastAsia="仿宋" w:cs="Calibri"/>
                <w:sz w:val="24"/>
                <w:szCs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5529" w:type="dxa"/>
            <w:vMerge w:val="restart"/>
          </w:tcPr>
          <w:p>
            <w:pPr>
              <w:rPr>
                <w:rFonts w:hint="eastAsia" w:ascii="仿宋" w:hAnsi="仿宋" w:eastAsia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sz w:val="24"/>
                <w:szCs w:val="24"/>
              </w:rPr>
              <w:t>易拉宝</w:t>
            </w:r>
          </w:p>
          <w:p>
            <w:pP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Calibri"/>
                <w:sz w:val="24"/>
                <w:szCs w:val="24"/>
              </w:rPr>
              <w:t>主会场和各分会场前排可摆放易拉宝，展示</w:t>
            </w: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给参会代表）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约10个</w:t>
            </w:r>
          </w:p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（主会场）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8000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元/个</w:t>
            </w:r>
          </w:p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（主会场）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</w:p>
        </w:tc>
        <w:tc>
          <w:tcPr>
            <w:tcW w:w="5529" w:type="dxa"/>
            <w:vMerge w:val="continue"/>
          </w:tcPr>
          <w:p>
            <w:pPr>
              <w:rPr>
                <w:rFonts w:hint="eastAsia"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约5个</w:t>
            </w:r>
          </w:p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（分会场）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  <w:lang w:eastAsia="ja-JP"/>
              </w:rPr>
              <w:t>5000</w:t>
            </w:r>
            <w:r>
              <w:rPr>
                <w:rFonts w:ascii="仿宋" w:hAnsi="仿宋" w:eastAsia="仿宋" w:cs="Calibri"/>
                <w:sz w:val="24"/>
                <w:szCs w:val="24"/>
              </w:rPr>
              <w:t>元/个</w:t>
            </w:r>
          </w:p>
          <w:p>
            <w:pPr>
              <w:jc w:val="center"/>
              <w:rPr>
                <w:rFonts w:hint="eastAsia"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（分会场）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C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10" w:type="dxa"/>
            <w:gridSpan w:val="4"/>
            <w:shd w:val="clear" w:color="auto" w:fill="FFC00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备注：待定费用请咨询组委会；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numPr>
          <w:ilvl w:val="0"/>
          <w:numId w:val="1"/>
        </w:numPr>
        <w:spacing w:line="600" w:lineRule="exact"/>
        <w:ind w:left="-282" w:leftChars="-364" w:hanging="482" w:hangingChars="20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专题分论坛合作</w:t>
      </w:r>
    </w:p>
    <w:p>
      <w:pPr>
        <w:spacing w:line="600" w:lineRule="exact"/>
        <w:ind w:left="-1182" w:leftChars="-563" w:firstLine="42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）企业专场专题分论坛</w:t>
      </w:r>
    </w:p>
    <w:p>
      <w:pPr>
        <w:spacing w:line="500" w:lineRule="exact"/>
        <w:ind w:left="-619" w:leftChars="-295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论坛时间安排：10月10日下午14:00-17:00、10月11日上午9:00-12:00、下午14:00-17:00；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合作费用：200000元，分论坛承办企业统一与组委会签署合作协议，合作费用入组委会指定账户；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合作模式：企业以承办专场专题分论坛方式进行赞助。企业与组委会共同拟定论坛主题和内容，企业可参与论坛演讲，演讲嘉宾由企业自主邀请，也可与组委会商议共同邀请。演讲嘉宾可免会议注册费，食宿及往返交通费用自理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●回报：</w:t>
      </w:r>
      <w:r>
        <w:rPr>
          <w:rFonts w:hint="eastAsia" w:ascii="仿宋" w:hAnsi="仿宋" w:eastAsia="仿宋" w:cs="Calibri"/>
          <w:sz w:val="24"/>
          <w:szCs w:val="24"/>
        </w:rPr>
        <w:t>研讨会现场背板宣传赞助商LOGO 、官方网站、微信公众号宣传赞助商LOGO、参会指南手册指定页面刊登赞助企业LOGO、特殊版位链接赞助商官网及公众号、赞助商资料装入会议资料袋、2个9㎡标准展位或18㎡光地展位、提供4个VIP参会名额（含食宿，2个房间）、业内主流媒体（2家）专访报道、参会指南手册特殊版位广告（2个版位）、会场、报到处显著位置摆放易拉宝2块。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）企业冠名专题分论坛</w:t>
      </w:r>
    </w:p>
    <w:p>
      <w:pPr>
        <w:spacing w:line="500" w:lineRule="exact"/>
        <w:ind w:left="-619" w:leftChars="-295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论坛时间安排：10月10日下午14:00-17:00、10月11日上午9:00-12:00、下午14:00-17:00；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合作费用：200000元，分论坛冠名企业统一与组委会签署合作协议，合作费用入组委会指定账户；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合作模式：企业</w:t>
      </w:r>
      <w:r>
        <w:rPr>
          <w:rFonts w:ascii="仿宋" w:hAnsi="仿宋" w:eastAsia="仿宋" w:cs="Calibri"/>
          <w:sz w:val="24"/>
          <w:szCs w:val="24"/>
        </w:rPr>
        <w:t>以冠名方式对</w:t>
      </w:r>
      <w:r>
        <w:rPr>
          <w:rFonts w:hint="eastAsia" w:ascii="仿宋" w:hAnsi="仿宋" w:eastAsia="仿宋" w:cs="Calibri"/>
          <w:sz w:val="24"/>
          <w:szCs w:val="24"/>
        </w:rPr>
        <w:t>论坛</w:t>
      </w:r>
      <w:r>
        <w:rPr>
          <w:rFonts w:ascii="仿宋" w:hAnsi="仿宋" w:eastAsia="仿宋" w:cs="Calibri"/>
          <w:sz w:val="24"/>
          <w:szCs w:val="24"/>
        </w:rPr>
        <w:t>进行赞助</w:t>
      </w:r>
      <w:r>
        <w:rPr>
          <w:rFonts w:hint="eastAsia" w:ascii="仿宋" w:hAnsi="仿宋" w:eastAsia="仿宋" w:cs="Calibri"/>
          <w:sz w:val="24"/>
          <w:szCs w:val="24"/>
        </w:rPr>
        <w:t>，企业可参与论坛演讲，可与组委会商议共同邀请演讲嘉宾。演讲嘉宾可免会议注册费，食宿及往返交通费用自理；</w:t>
      </w:r>
    </w:p>
    <w:p>
      <w:pPr>
        <w:spacing w:line="500" w:lineRule="exact"/>
        <w:ind w:left="-619" w:leftChars="-295"/>
        <w:jc w:val="left"/>
        <w:rPr>
          <w:rFonts w:hint="eastAsia" w:ascii="仿宋" w:hAnsi="仿宋" w:eastAsia="仿宋" w:cs="Calibri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●</w:t>
      </w:r>
      <w:r>
        <w:rPr>
          <w:rFonts w:hint="eastAsia" w:ascii="仿宋" w:hAnsi="仿宋" w:eastAsia="仿宋" w:cs="Calibri"/>
          <w:sz w:val="24"/>
          <w:szCs w:val="24"/>
        </w:rPr>
        <w:t>回报：研讨会现场背板宣传赞助商LOGO 、官方网站、微信公众号宣传赞助商LOGO、参会指南手册指定页面刊登赞助企业LOGO、特殊版位链接赞助商官网及公众号、赞助商资料装入会议资料袋、2个9㎡标准展位或18㎡光地展位、提供4个VIP参会名额（含食宿，2个房间）、业内主流媒体（2家）专访报道、参会指南手册特殊版位广告（2个版位）、会场、报到处显著位置摆放易拉宝2块。</w:t>
      </w:r>
      <w:bookmarkStart w:id="0" w:name="_GoBack"/>
      <w:bookmarkEnd w:id="0"/>
      <w:r>
        <w:rPr>
          <w:rFonts w:ascii="Courier New" w:hAnsi="Courier New" w:eastAsia="仿宋" w:cs="Courier New"/>
          <w:sz w:val="24"/>
          <w:szCs w:val="24"/>
        </w:rPr>
        <w:t>‌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0CB18"/>
    <w:multiLevelType w:val="singleLevel"/>
    <w:tmpl w:val="A800CB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jg3YzI0MGNkMzI5NWRiZTQ1Mzg3NjVmOGVjMjEifQ=="/>
  </w:docVars>
  <w:rsids>
    <w:rsidRoot w:val="68AF7D6F"/>
    <w:rsid w:val="00000025"/>
    <w:rsid w:val="00B50764"/>
    <w:rsid w:val="00BF69CC"/>
    <w:rsid w:val="03B329EB"/>
    <w:rsid w:val="04536253"/>
    <w:rsid w:val="0BEA58E4"/>
    <w:rsid w:val="5E783F3F"/>
    <w:rsid w:val="68A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2863</Words>
  <Characters>3462</Characters>
  <Lines>26</Lines>
  <Paragraphs>7</Paragraphs>
  <TotalTime>27</TotalTime>
  <ScaleCrop>false</ScaleCrop>
  <LinksUpToDate>false</LinksUpToDate>
  <CharactersWithSpaces>3493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2024-08-06T03:19:00Z</dcterms:created>
  <dc:creator>阳阳</dc:creator>
  <cp:lastModifiedBy>阳阳</cp:lastModifiedBy>
  <dcterms:modified xsi:type="dcterms:W3CDTF">2024-08-15T08:21:06Z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998ADC61B84B4779BEC60E4B0150B016_13</vt:lpwstr>
  </property>
</Properties>
</file>